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ETFLogic,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Logicly.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Harper.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Vanguard,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Bateman,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dentistadvisors.com.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arbitrary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arbitrary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ancillary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non-binary.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liquidity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accumulating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clientele?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refinancing,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liquidity,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unexpectedly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rambling?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hybrid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workflows.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dopamine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verbally,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benchmarked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brackets.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liquidity.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Logicly.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workflows,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rollercoaster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liquidity,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vendors.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liquidity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municipal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corresponds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Lebanon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accumulating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250,000,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deposits,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discretion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discretion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401(k)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accumulation.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tailwinds,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millennials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Vanguard's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onboarding,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tailwinds,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headwinds.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Ortho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Minneapolis.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orthodontic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Bruckenstein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startups.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09-15 Speaking Logicly FINAL (Completed  09/21/21)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hu8ydwctocNFShz55vwScZXsLlkTKkt3Nbb7eYmSrJUXJIrxrI2JcnVaMQrsd7BnMIqdjh-l_XUw_8pJX6BVv-9OlW8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